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0893F67E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#11</w:t>
      </w:r>
      <w:r w:rsidR="00AE7935">
        <w:rPr>
          <w:b/>
          <w:noProof/>
          <w:sz w:val="24"/>
          <w:lang w:val="en-US"/>
        </w:rPr>
        <w:t>7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Pr="000C416C">
        <w:rPr>
          <w:b/>
          <w:noProof/>
          <w:sz w:val="24"/>
          <w:lang w:val="en-US"/>
        </w:rPr>
        <w:t>R</w:t>
      </w:r>
      <w:r w:rsidR="00AE7935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>-2</w:t>
      </w:r>
      <w:r w:rsidR="00860820">
        <w:rPr>
          <w:b/>
          <w:noProof/>
          <w:sz w:val="24"/>
          <w:lang w:val="en-US"/>
        </w:rPr>
        <w:t>2</w:t>
      </w:r>
      <w:r w:rsidR="00610359">
        <w:rPr>
          <w:b/>
          <w:noProof/>
          <w:sz w:val="24"/>
          <w:lang w:val="en-US"/>
        </w:rPr>
        <w:t>4</w:t>
      </w:r>
      <w:r w:rsidR="004076FE">
        <w:rPr>
          <w:b/>
          <w:noProof/>
          <w:sz w:val="24"/>
          <w:lang w:val="en-US"/>
        </w:rPr>
        <w:t>504</w:t>
      </w:r>
    </w:p>
    <w:p w14:paraId="351CA33D" w14:textId="20BB135B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AE7935">
        <w:rPr>
          <w:rFonts w:ascii="Arial" w:eastAsia="MS Mincho" w:hAnsi="Arial"/>
          <w:b/>
          <w:noProof/>
          <w:sz w:val="24"/>
        </w:rPr>
        <w:t>August</w:t>
      </w:r>
      <w:r w:rsidR="00C65FAE">
        <w:rPr>
          <w:rFonts w:ascii="Arial" w:eastAsia="MS Mincho" w:hAnsi="Arial"/>
          <w:b/>
          <w:noProof/>
          <w:sz w:val="24"/>
        </w:rPr>
        <w:t xml:space="preserve"> </w:t>
      </w:r>
      <w:r w:rsidR="00AE7935">
        <w:rPr>
          <w:rFonts w:ascii="Arial" w:eastAsia="MS Mincho" w:hAnsi="Arial"/>
          <w:b/>
          <w:noProof/>
          <w:sz w:val="24"/>
        </w:rPr>
        <w:t>15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AE7935">
        <w:rPr>
          <w:rFonts w:ascii="Arial" w:eastAsia="MS Mincho" w:hAnsi="Arial"/>
          <w:b/>
          <w:noProof/>
          <w:sz w:val="24"/>
        </w:rPr>
        <w:t>6</w:t>
      </w:r>
      <w:r w:rsidR="00410637">
        <w:rPr>
          <w:rFonts w:ascii="Arial" w:eastAsia="MS Mincho" w:hAnsi="Arial"/>
          <w:b/>
          <w:noProof/>
          <w:sz w:val="24"/>
        </w:rPr>
        <w:t>, 202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762C030A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C47A66">
        <w:rPr>
          <w:sz w:val="24"/>
          <w:lang w:val="pt-PT"/>
        </w:rPr>
        <w:t>13</w:t>
      </w:r>
      <w:r w:rsidR="00AE7935">
        <w:rPr>
          <w:sz w:val="24"/>
          <w:lang w:val="pt-PT"/>
        </w:rPr>
        <w:t>.</w:t>
      </w:r>
      <w:r w:rsidR="00C47A66">
        <w:rPr>
          <w:sz w:val="24"/>
          <w:lang w:val="pt-PT"/>
        </w:rPr>
        <w:t>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64D9A418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D80F5E">
        <w:rPr>
          <w:rFonts w:ascii="Arial" w:hAnsi="Arial"/>
          <w:sz w:val="24"/>
        </w:rPr>
        <w:t>Topology adaptation for</w:t>
      </w:r>
      <w:r w:rsidR="00AE7935">
        <w:rPr>
          <w:rFonts w:ascii="Arial" w:hAnsi="Arial"/>
          <w:sz w:val="24"/>
        </w:rPr>
        <w:t xml:space="preserve"> mobile</w:t>
      </w:r>
      <w:r w:rsidR="003A16C0">
        <w:rPr>
          <w:rFonts w:ascii="Arial" w:hAnsi="Arial"/>
          <w:sz w:val="24"/>
        </w:rPr>
        <w:t xml:space="preserve">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701FB8C7" w:rsidR="00B65E42" w:rsidRDefault="00D80F5E" w:rsidP="006600CD">
      <w:pPr>
        <w:spacing w:after="0"/>
      </w:pPr>
      <w:r>
        <w:t>The WID on Rel-18 mobile IAB holds the following objective [1]: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080149EE" w14:textId="6C20E02B" w:rsidR="00B65E42" w:rsidRPr="00D80F5E" w:rsidRDefault="00314064" w:rsidP="00D80F5E">
            <w:pPr>
              <w:pStyle w:val="maintext"/>
              <w:numPr>
                <w:ilvl w:val="0"/>
                <w:numId w:val="10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662C4159" w14:textId="0E56B25E" w:rsidR="00F705E6" w:rsidRDefault="00D80F5E" w:rsidP="00F705E6">
      <w:pPr>
        <w:spacing w:after="0"/>
      </w:pPr>
      <w:r>
        <w:t>This contribution discusses procedures to support mobile IAB in support of this objective.</w:t>
      </w:r>
      <w:r w:rsidR="00F705E6">
        <w:t xml:space="preserve"> </w:t>
      </w:r>
    </w:p>
    <w:p w14:paraId="567263CA" w14:textId="77777777" w:rsidR="00F705E6" w:rsidRPr="00320A6B" w:rsidRDefault="00F705E6" w:rsidP="00382A17"/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328AE14B" w14:textId="43F95D34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A66990">
        <w:t>Inter-donor migration (full migration)</w:t>
      </w:r>
    </w:p>
    <w:p w14:paraId="3C4260C0" w14:textId="3F4FCBED" w:rsidR="00A73886" w:rsidRPr="00213E7A" w:rsidRDefault="00213E7A" w:rsidP="00AF25B2">
      <w:pPr>
        <w:spacing w:after="120"/>
        <w:rPr>
          <w:b/>
          <w:bCs/>
        </w:rPr>
      </w:pPr>
      <w:r>
        <w:t>In Rel-17, f</w:t>
      </w:r>
      <w:r w:rsidR="00A73886">
        <w:t xml:space="preserve">ull migration was discussed </w:t>
      </w:r>
      <w:r>
        <w:t>for stationary</w:t>
      </w:r>
      <w:r w:rsidR="00A73886">
        <w:t xml:space="preserve"> IAB. </w:t>
      </w:r>
      <w:r w:rsidR="00DE6DD1">
        <w:t>In</w:t>
      </w:r>
      <w:r w:rsidR="00A73886">
        <w:t xml:space="preserve"> </w:t>
      </w:r>
      <w:r w:rsidR="0033423E">
        <w:t>Rel-18</w:t>
      </w:r>
      <w:r w:rsidR="00DE6DD1">
        <w:t xml:space="preserve">, the </w:t>
      </w:r>
      <w:r w:rsidR="00A73886">
        <w:t xml:space="preserve">discussion on full migration </w:t>
      </w:r>
      <w:r w:rsidR="004C1803">
        <w:t xml:space="preserve">can continue </w:t>
      </w:r>
      <w:r w:rsidR="00A73886">
        <w:t xml:space="preserve">for mobile IAB where it </w:t>
      </w:r>
      <w:r w:rsidR="004C1803">
        <w:t>left off</w:t>
      </w:r>
      <w:r w:rsidR="00A73886">
        <w:t xml:space="preserve"> in Rel-17. </w:t>
      </w:r>
    </w:p>
    <w:p w14:paraId="74A8C865" w14:textId="77777777" w:rsidR="0059501A" w:rsidRDefault="0059501A" w:rsidP="0059501A">
      <w:pPr>
        <w:widowControl w:val="0"/>
        <w:jc w:val="center"/>
        <w:rPr>
          <w:rFonts w:ascii="Arial" w:hAnsi="Arial" w:cs="Arial"/>
          <w:lang w:eastAsia="zh-CN"/>
        </w:rPr>
      </w:pPr>
      <w:r>
        <w:object w:dxaOrig="19636" w:dyaOrig="10562" w14:anchorId="7E2F38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5pt;height:186pt" o:ole="">
            <v:imagedata r:id="rId11" o:title=""/>
          </v:shape>
          <o:OLEObject Type="Embed" ProgID="Visio.Drawing.15" ShapeID="_x0000_i1025" DrawAspect="Content" ObjectID="_1721467954" r:id="rId12"/>
        </w:object>
      </w:r>
    </w:p>
    <w:p w14:paraId="0A1CD04B" w14:textId="7FC243FC" w:rsidR="0059501A" w:rsidRPr="007577FC" w:rsidRDefault="0059501A" w:rsidP="0059501A">
      <w:pPr>
        <w:widowControl w:val="0"/>
        <w:jc w:val="center"/>
        <w:rPr>
          <w:rFonts w:ascii="Arial" w:hAnsi="Arial" w:cs="Arial"/>
          <w:b/>
          <w:bCs/>
          <w:lang w:eastAsia="zh-CN"/>
        </w:rPr>
      </w:pPr>
      <w:r w:rsidRPr="007577FC">
        <w:rPr>
          <w:rFonts w:ascii="Arial" w:hAnsi="Arial" w:cs="Arial"/>
          <w:b/>
          <w:bCs/>
          <w:lang w:eastAsia="zh-CN"/>
        </w:rPr>
        <w:t>Figure 1: UE handover between cells pertaining to different logical IAB-DUs connected to separate CUs</w:t>
      </w:r>
      <w:r>
        <w:rPr>
          <w:rFonts w:ascii="Arial" w:hAnsi="Arial" w:cs="Arial"/>
          <w:b/>
          <w:bCs/>
          <w:lang w:eastAsia="zh-CN"/>
        </w:rPr>
        <w:t xml:space="preserve"> (based on </w:t>
      </w:r>
      <w:r w:rsidR="00D543B4">
        <w:rPr>
          <w:rFonts w:ascii="Arial" w:hAnsi="Arial" w:cs="Arial"/>
          <w:b/>
          <w:bCs/>
          <w:lang w:eastAsia="zh-CN"/>
        </w:rPr>
        <w:t>[2]</w:t>
      </w:r>
      <w:r>
        <w:rPr>
          <w:rFonts w:ascii="Arial" w:hAnsi="Arial" w:cs="Arial"/>
          <w:b/>
          <w:bCs/>
          <w:lang w:eastAsia="zh-CN"/>
        </w:rPr>
        <w:t>)</w:t>
      </w:r>
    </w:p>
    <w:p w14:paraId="791E101C" w14:textId="77777777" w:rsidR="0059501A" w:rsidRDefault="001D6DC6" w:rsidP="003A5C13">
      <w:pPr>
        <w:spacing w:after="120"/>
      </w:pPr>
      <w:r>
        <w:t xml:space="preserve">In Rel-17, RAN3 assumed that during full migration, the IAB-node concurrently supports two logical IAB-DUs, where one logical IAB-DU has F1AP association with CU1 and the other </w:t>
      </w:r>
      <w:r w:rsidR="00AF25B2">
        <w:t xml:space="preserve">logical IAB-DU </w:t>
      </w:r>
      <w:r>
        <w:t xml:space="preserve">as F1AP association with CU2. </w:t>
      </w:r>
    </w:p>
    <w:p w14:paraId="42D9578C" w14:textId="6C2D732A" w:rsidR="001D6DC6" w:rsidRDefault="006419D9" w:rsidP="003A5C13">
      <w:pPr>
        <w:spacing w:after="120"/>
      </w:pPr>
      <w:r>
        <w:t xml:space="preserve">The support of </w:t>
      </w:r>
      <w:r w:rsidR="00DE6DD1">
        <w:t xml:space="preserve">two concurrent </w:t>
      </w:r>
      <w:r>
        <w:t xml:space="preserve">logical IAB-DUs allows </w:t>
      </w:r>
      <w:r w:rsidR="003A07EE">
        <w:t>UEs to be handed over</w:t>
      </w:r>
      <w:r w:rsidR="0059501A">
        <w:t xml:space="preserve"> a cell supported by one IAB-DU to a cell supported by the other</w:t>
      </w:r>
      <w:r w:rsidR="00D543B4">
        <w:t xml:space="preserve"> [2]</w:t>
      </w:r>
      <w:r w:rsidR="0059501A">
        <w:t>.</w:t>
      </w:r>
      <w:r w:rsidR="00FA0E97">
        <w:t xml:space="preserve"> One reason for this handover is that the UE </w:t>
      </w:r>
      <w:proofErr w:type="gramStart"/>
      <w:r w:rsidR="00FA0E97">
        <w:t>has to</w:t>
      </w:r>
      <w:proofErr w:type="gramEnd"/>
      <w:r w:rsidR="00FA0E97">
        <w:t xml:space="preserve"> perform a security update since it migrates to a different CU.</w:t>
      </w:r>
    </w:p>
    <w:p w14:paraId="26A7FEE8" w14:textId="507791D7" w:rsidR="00B8493D" w:rsidRDefault="00B8493D" w:rsidP="003A5C13">
      <w:pPr>
        <w:spacing w:after="120"/>
      </w:pPr>
      <w:r>
        <w:t>These assumptions from Rel-17 can be carried over to mobile IAB.</w:t>
      </w:r>
    </w:p>
    <w:p w14:paraId="64E57A90" w14:textId="621CB9F1" w:rsidR="00DE6DD1" w:rsidRDefault="00DE6DD1" w:rsidP="00DE6DD1">
      <w:pPr>
        <w:spacing w:after="120"/>
        <w:rPr>
          <w:b/>
          <w:bCs/>
          <w:lang w:val="en-US"/>
        </w:rPr>
      </w:pPr>
      <w:r w:rsidRPr="00AC0234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>During</w:t>
      </w:r>
      <w:r w:rsidRPr="00AC0234">
        <w:rPr>
          <w:b/>
          <w:bCs/>
          <w:lang w:val="en-US"/>
        </w:rPr>
        <w:t xml:space="preserve"> full migration, </w:t>
      </w:r>
      <w:r>
        <w:rPr>
          <w:b/>
          <w:bCs/>
          <w:lang w:val="en-US"/>
        </w:rPr>
        <w:t xml:space="preserve">the </w:t>
      </w:r>
      <w:r w:rsidR="00B8493D">
        <w:rPr>
          <w:b/>
          <w:bCs/>
          <w:lang w:val="en-US"/>
        </w:rPr>
        <w:t xml:space="preserve">mobile </w:t>
      </w:r>
      <w:r>
        <w:rPr>
          <w:b/>
          <w:bCs/>
          <w:lang w:val="en-US"/>
        </w:rPr>
        <w:t xml:space="preserve">IAB-node to concurrently support </w:t>
      </w:r>
      <w:r w:rsidR="00B8493D">
        <w:rPr>
          <w:b/>
          <w:bCs/>
          <w:lang w:val="en-US"/>
        </w:rPr>
        <w:t>two</w:t>
      </w:r>
      <w:r w:rsidRPr="00AC023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logical DU</w:t>
      </w:r>
      <w:r w:rsidR="00B8493D">
        <w:rPr>
          <w:b/>
          <w:bCs/>
          <w:lang w:val="en-US"/>
        </w:rPr>
        <w:t>s</w:t>
      </w:r>
      <w:r w:rsidR="00A5155E">
        <w:rPr>
          <w:b/>
          <w:bCs/>
          <w:lang w:val="en-US"/>
        </w:rPr>
        <w:t>,</w:t>
      </w:r>
      <w:r>
        <w:rPr>
          <w:b/>
          <w:bCs/>
          <w:lang w:val="en-US"/>
        </w:rPr>
        <w:t xml:space="preserve"> </w:t>
      </w:r>
      <w:r w:rsidR="00B8493D">
        <w:rPr>
          <w:b/>
          <w:bCs/>
          <w:lang w:val="en-US"/>
        </w:rPr>
        <w:t xml:space="preserve">referred to as source and target IAB-DUs, </w:t>
      </w:r>
      <w:r>
        <w:rPr>
          <w:b/>
          <w:bCs/>
          <w:lang w:val="en-US"/>
        </w:rPr>
        <w:t xml:space="preserve">which have F1AP associations with </w:t>
      </w:r>
      <w:r w:rsidR="00B8493D">
        <w:rPr>
          <w:b/>
          <w:bCs/>
          <w:lang w:val="en-US"/>
        </w:rPr>
        <w:t>CU1 and CU2</w:t>
      </w:r>
      <w:r w:rsidR="00A5155E">
        <w:rPr>
          <w:b/>
          <w:bCs/>
          <w:lang w:val="en-US"/>
        </w:rPr>
        <w:t>, respectively.</w:t>
      </w:r>
    </w:p>
    <w:p w14:paraId="7881F988" w14:textId="1999130A" w:rsidR="008D039A" w:rsidRPr="00AC0234" w:rsidRDefault="008D039A" w:rsidP="008D039A">
      <w:pPr>
        <w:spacing w:after="120"/>
        <w:rPr>
          <w:b/>
          <w:bCs/>
          <w:lang w:val="en-US"/>
        </w:rPr>
      </w:pPr>
      <w:r w:rsidRPr="00AC0234">
        <w:rPr>
          <w:b/>
          <w:bCs/>
          <w:lang w:val="en-US"/>
        </w:rPr>
        <w:lastRenderedPageBreak/>
        <w:t xml:space="preserve">Proposal </w:t>
      </w:r>
      <w:r>
        <w:rPr>
          <w:b/>
          <w:bCs/>
          <w:lang w:val="en-US"/>
        </w:rPr>
        <w:t>2</w:t>
      </w:r>
      <w:r w:rsidRPr="00AC0234">
        <w:rPr>
          <w:b/>
          <w:bCs/>
          <w:lang w:val="en-US"/>
        </w:rPr>
        <w:t xml:space="preserve">: </w:t>
      </w:r>
      <w:r w:rsidR="00B8493D">
        <w:rPr>
          <w:b/>
          <w:bCs/>
          <w:lang w:val="en-US"/>
        </w:rPr>
        <w:t>The</w:t>
      </w:r>
      <w:r>
        <w:rPr>
          <w:b/>
          <w:bCs/>
          <w:lang w:val="en-US"/>
        </w:rPr>
        <w:t xml:space="preserve"> UE</w:t>
      </w:r>
      <w:r w:rsidR="00D4120E">
        <w:rPr>
          <w:b/>
          <w:bCs/>
          <w:lang w:val="en-US"/>
        </w:rPr>
        <w:t>s</w:t>
      </w:r>
      <w:r w:rsidR="00B8493D">
        <w:rPr>
          <w:b/>
          <w:bCs/>
          <w:lang w:val="en-US"/>
        </w:rPr>
        <w:t xml:space="preserve"> connected to the mobile IAB-node</w:t>
      </w:r>
      <w:r>
        <w:rPr>
          <w:b/>
          <w:bCs/>
          <w:lang w:val="en-US"/>
        </w:rPr>
        <w:t xml:space="preserve"> to be handed over between a cell on </w:t>
      </w:r>
      <w:r w:rsidR="00B8493D">
        <w:rPr>
          <w:b/>
          <w:bCs/>
          <w:lang w:val="en-US"/>
        </w:rPr>
        <w:t>the source l</w:t>
      </w:r>
      <w:r>
        <w:rPr>
          <w:b/>
          <w:bCs/>
          <w:lang w:val="en-US"/>
        </w:rPr>
        <w:t>ogical DU and a cell on the target logical DU.</w:t>
      </w:r>
    </w:p>
    <w:p w14:paraId="43B1010C" w14:textId="77777777" w:rsidR="008D039A" w:rsidRPr="00AC0234" w:rsidRDefault="008D039A" w:rsidP="00DE6DD1">
      <w:pPr>
        <w:spacing w:after="120"/>
        <w:rPr>
          <w:b/>
          <w:bCs/>
          <w:lang w:val="en-US"/>
        </w:rPr>
      </w:pPr>
    </w:p>
    <w:p w14:paraId="52A28DEC" w14:textId="3DB9A908" w:rsidR="00A73886" w:rsidRDefault="00B8493D" w:rsidP="003A5C13">
      <w:pPr>
        <w:spacing w:after="120"/>
      </w:pPr>
      <w:r>
        <w:t xml:space="preserve">During Rel-17, </w:t>
      </w:r>
      <w:r w:rsidR="00236E01">
        <w:t xml:space="preserve">RAN3 further considered two implementation alternatives: </w:t>
      </w:r>
    </w:p>
    <w:p w14:paraId="53F91FA8" w14:textId="77777777" w:rsidR="00236E01" w:rsidRPr="00C30603" w:rsidRDefault="00236E01" w:rsidP="00236E01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 xml:space="preserve">- </w:t>
      </w:r>
      <w:r w:rsidRPr="00C30603">
        <w:rPr>
          <w:rFonts w:ascii="Arial" w:hAnsi="Arial" w:cs="Arial"/>
          <w:b/>
          <w:lang w:eastAsia="zh-CN"/>
        </w:rPr>
        <w:t>Alt1</w:t>
      </w:r>
      <w:r w:rsidRPr="00C30603">
        <w:rPr>
          <w:rFonts w:ascii="Arial" w:hAnsi="Arial" w:cs="Arial"/>
          <w:lang w:eastAsia="zh-CN"/>
        </w:rPr>
        <w:t>: the two logical DUs use separate physical cell resources</w:t>
      </w:r>
    </w:p>
    <w:p w14:paraId="1740576F" w14:textId="77777777" w:rsidR="00236E01" w:rsidRPr="00C30603" w:rsidRDefault="00236E01" w:rsidP="00236E01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 xml:space="preserve">- </w:t>
      </w:r>
      <w:r w:rsidRPr="00C30603">
        <w:rPr>
          <w:rFonts w:ascii="Arial" w:hAnsi="Arial" w:cs="Arial"/>
          <w:b/>
          <w:lang w:eastAsia="zh-CN"/>
        </w:rPr>
        <w:t>Alt2</w:t>
      </w:r>
      <w:r w:rsidRPr="00C30603">
        <w:rPr>
          <w:rFonts w:ascii="Arial" w:hAnsi="Arial" w:cs="Arial"/>
          <w:lang w:eastAsia="zh-CN"/>
        </w:rPr>
        <w:t>: the two logical DUs use the same physical cell resources</w:t>
      </w:r>
    </w:p>
    <w:p w14:paraId="360CA859" w14:textId="3DD1CD7C" w:rsidR="00DF0433" w:rsidRPr="00213E7A" w:rsidRDefault="00B8493D" w:rsidP="00DF0433">
      <w:pPr>
        <w:pStyle w:val="Agreement"/>
        <w:numPr>
          <w:ilvl w:val="0"/>
          <w:numId w:val="0"/>
        </w:numPr>
        <w:rPr>
          <w:rFonts w:ascii="Times New Roman" w:eastAsiaTheme="minorEastAsia" w:hAnsi="Times New Roman"/>
          <w:b w:val="0"/>
          <w:szCs w:val="20"/>
          <w:lang w:eastAsia="en-US"/>
        </w:rPr>
      </w:pPr>
      <w:r>
        <w:rPr>
          <w:rFonts w:ascii="Times New Roman" w:eastAsiaTheme="minorEastAsia" w:hAnsi="Times New Roman"/>
          <w:b w:val="0"/>
          <w:szCs w:val="20"/>
          <w:lang w:eastAsia="en-US"/>
        </w:rPr>
        <w:t>These implementation alternatives were liaised to RAN1, RAN2 and RAN4 [2], where the</w:t>
      </w:r>
      <w:r w:rsidR="008D039A">
        <w:rPr>
          <w:rFonts w:ascii="Times New Roman" w:eastAsiaTheme="minorEastAsia" w:hAnsi="Times New Roman"/>
          <w:b w:val="0"/>
          <w:szCs w:val="20"/>
          <w:lang w:eastAsia="en-US"/>
        </w:rPr>
        <w:t xml:space="preserve"> discussion on separate vs. same physical resources created confusion. RAN2, for instance, raised the question if separate physical cell resources impl</w:t>
      </w:r>
      <w:r>
        <w:rPr>
          <w:rFonts w:ascii="Times New Roman" w:eastAsiaTheme="minorEastAsia" w:hAnsi="Times New Roman"/>
          <w:b w:val="0"/>
          <w:szCs w:val="20"/>
          <w:lang w:eastAsia="en-US"/>
        </w:rPr>
        <w:t>ied</w:t>
      </w:r>
      <w:r w:rsidR="008D039A">
        <w:rPr>
          <w:rFonts w:ascii="Times New Roman" w:eastAsiaTheme="minorEastAsia" w:hAnsi="Times New Roman"/>
          <w:b w:val="0"/>
          <w:szCs w:val="20"/>
          <w:lang w:eastAsia="en-US"/>
        </w:rPr>
        <w:t xml:space="preserve"> that the cells </w:t>
      </w:r>
      <w:r>
        <w:rPr>
          <w:rFonts w:ascii="Times New Roman" w:eastAsiaTheme="minorEastAsia" w:hAnsi="Times New Roman"/>
          <w:b w:val="0"/>
          <w:szCs w:val="20"/>
          <w:lang w:eastAsia="en-US"/>
        </w:rPr>
        <w:t xml:space="preserve">would </w:t>
      </w:r>
      <w:r w:rsidR="008D039A">
        <w:rPr>
          <w:rFonts w:ascii="Times New Roman" w:eastAsiaTheme="minorEastAsia" w:hAnsi="Times New Roman"/>
          <w:b w:val="0"/>
          <w:szCs w:val="20"/>
          <w:lang w:eastAsia="en-US"/>
        </w:rPr>
        <w:t>use separate frequencies or if they could also be mult</w:t>
      </w:r>
      <w:r w:rsidR="00440961">
        <w:rPr>
          <w:rFonts w:ascii="Times New Roman" w:eastAsiaTheme="minorEastAsia" w:hAnsi="Times New Roman"/>
          <w:b w:val="0"/>
          <w:szCs w:val="20"/>
          <w:lang w:eastAsia="en-US"/>
        </w:rPr>
        <w:t>i</w:t>
      </w:r>
      <w:r w:rsidR="008D039A">
        <w:rPr>
          <w:rFonts w:ascii="Times New Roman" w:eastAsiaTheme="minorEastAsia" w:hAnsi="Times New Roman"/>
          <w:b w:val="0"/>
          <w:szCs w:val="20"/>
          <w:lang w:eastAsia="en-US"/>
        </w:rPr>
        <w:t>plexed in the time domain using the same frequency</w:t>
      </w:r>
      <w:r>
        <w:rPr>
          <w:rFonts w:ascii="Times New Roman" w:eastAsiaTheme="minorEastAsia" w:hAnsi="Times New Roman"/>
          <w:b w:val="0"/>
          <w:szCs w:val="20"/>
          <w:lang w:eastAsia="en-US"/>
        </w:rPr>
        <w:t xml:space="preserve"> [3]</w:t>
      </w:r>
      <w:r w:rsidR="008D039A">
        <w:rPr>
          <w:rFonts w:ascii="Times New Roman" w:eastAsiaTheme="minorEastAsia" w:hAnsi="Times New Roman"/>
          <w:b w:val="0"/>
          <w:szCs w:val="20"/>
          <w:lang w:eastAsia="en-US"/>
        </w:rPr>
        <w:t xml:space="preserve">. </w:t>
      </w:r>
      <w:r w:rsidR="00DF0433" w:rsidRPr="00213E7A">
        <w:rPr>
          <w:rFonts w:ascii="Times New Roman" w:eastAsiaTheme="minorEastAsia" w:hAnsi="Times New Roman"/>
          <w:b w:val="0"/>
          <w:szCs w:val="20"/>
          <w:lang w:eastAsia="en-US"/>
        </w:rPr>
        <w:t xml:space="preserve">Based on this </w:t>
      </w:r>
      <w:r>
        <w:rPr>
          <w:rFonts w:ascii="Times New Roman" w:eastAsiaTheme="minorEastAsia" w:hAnsi="Times New Roman"/>
          <w:b w:val="0"/>
          <w:szCs w:val="20"/>
          <w:lang w:eastAsia="en-US"/>
        </w:rPr>
        <w:t>discussion</w:t>
      </w:r>
      <w:r w:rsidR="00DF0433" w:rsidRPr="00213E7A">
        <w:rPr>
          <w:rFonts w:ascii="Times New Roman" w:eastAsiaTheme="minorEastAsia" w:hAnsi="Times New Roman"/>
          <w:b w:val="0"/>
          <w:szCs w:val="20"/>
          <w:lang w:eastAsia="en-US"/>
        </w:rPr>
        <w:t xml:space="preserve">, RAN2 agreed [3]: </w:t>
      </w:r>
    </w:p>
    <w:p w14:paraId="708CFA74" w14:textId="3DBC3E2E" w:rsidR="00236E01" w:rsidRDefault="00236E01" w:rsidP="003A5C13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0433" w14:paraId="2BE47793" w14:textId="77777777" w:rsidTr="00DF0433">
        <w:tc>
          <w:tcPr>
            <w:tcW w:w="9631" w:type="dxa"/>
          </w:tcPr>
          <w:p w14:paraId="2B02F7AD" w14:textId="70E3C17F" w:rsidR="00DF0433" w:rsidRPr="00213E7A" w:rsidRDefault="00DF0433" w:rsidP="00B8493D">
            <w:pPr>
              <w:pStyle w:val="Agreement"/>
              <w:tabs>
                <w:tab w:val="num" w:pos="1619"/>
              </w:tabs>
              <w:spacing w:after="120"/>
              <w:ind w:left="648"/>
              <w:rPr>
                <w:b w:val="0"/>
                <w:bCs/>
              </w:rPr>
            </w:pPr>
            <w:r w:rsidRPr="00DE30AA">
              <w:rPr>
                <w:b w:val="0"/>
                <w:bCs/>
              </w:rPr>
              <w:t xml:space="preserve">R2 assumes that the UE need to be able to treat the separate resources as different cells on L1. </w:t>
            </w:r>
          </w:p>
        </w:tc>
      </w:tr>
    </w:tbl>
    <w:p w14:paraId="6D17F1FF" w14:textId="4AABBD8B" w:rsidR="00236E01" w:rsidRDefault="00236E01" w:rsidP="003A5C13">
      <w:pPr>
        <w:spacing w:after="120"/>
      </w:pPr>
    </w:p>
    <w:p w14:paraId="212BA817" w14:textId="10FDC97E" w:rsidR="00E32798" w:rsidRDefault="00E32798" w:rsidP="00E32798">
      <w:pPr>
        <w:spacing w:after="120"/>
        <w:rPr>
          <w:lang w:val="en-US"/>
        </w:rPr>
      </w:pPr>
      <w:r>
        <w:rPr>
          <w:lang w:val="en-US"/>
        </w:rPr>
        <w:t xml:space="preserve">This agreement </w:t>
      </w:r>
      <w:r w:rsidR="007E0F38">
        <w:rPr>
          <w:lang w:val="en-US"/>
        </w:rPr>
        <w:t xml:space="preserve">should be confirmed by RAN3 as it </w:t>
      </w:r>
      <w:r w:rsidR="0078206E">
        <w:rPr>
          <w:lang w:val="en-US"/>
        </w:rPr>
        <w:t xml:space="preserve">leaves the discussion on resource </w:t>
      </w:r>
      <w:r w:rsidR="008F595B">
        <w:rPr>
          <w:lang w:val="en-US"/>
        </w:rPr>
        <w:t>sharing</w:t>
      </w:r>
      <w:r w:rsidR="0078206E">
        <w:rPr>
          <w:lang w:val="en-US"/>
        </w:rPr>
        <w:t xml:space="preserve"> to RAN1. In this manner, RAN2 and RAN3 can make progress on </w:t>
      </w:r>
      <w:r w:rsidR="008F595B">
        <w:rPr>
          <w:lang w:val="en-US"/>
        </w:rPr>
        <w:t>full migration without discussing resource sharing. RAN1 should be liaised on this agreement.</w:t>
      </w:r>
    </w:p>
    <w:p w14:paraId="060F46E7" w14:textId="24C2BBA4" w:rsidR="007E0F38" w:rsidRDefault="00DE6DD1" w:rsidP="003A5C13">
      <w:pPr>
        <w:spacing w:after="120"/>
        <w:rPr>
          <w:b/>
          <w:bCs/>
          <w:lang w:val="en-US"/>
        </w:rPr>
      </w:pPr>
      <w:r w:rsidRPr="00A5155E">
        <w:rPr>
          <w:b/>
          <w:bCs/>
          <w:lang w:val="en-US"/>
        </w:rPr>
        <w:t xml:space="preserve">Proposal </w:t>
      </w:r>
      <w:r w:rsidR="007E0F38">
        <w:rPr>
          <w:b/>
          <w:bCs/>
          <w:lang w:val="en-US"/>
        </w:rPr>
        <w:t>3</w:t>
      </w:r>
      <w:r w:rsidRPr="00A5155E">
        <w:rPr>
          <w:b/>
          <w:bCs/>
          <w:lang w:val="en-US"/>
        </w:rPr>
        <w:t xml:space="preserve">: </w:t>
      </w:r>
      <w:r w:rsidR="007E0F38">
        <w:rPr>
          <w:b/>
          <w:bCs/>
          <w:lang w:val="en-US"/>
        </w:rPr>
        <w:t>RAN3 assumes that the UE needs to be able to see the</w:t>
      </w:r>
      <w:r w:rsidR="008F595B">
        <w:rPr>
          <w:b/>
          <w:bCs/>
          <w:lang w:val="en-US"/>
        </w:rPr>
        <w:t xml:space="preserve"> cell on the source </w:t>
      </w:r>
      <w:r w:rsidR="007E0F38">
        <w:rPr>
          <w:b/>
          <w:bCs/>
          <w:lang w:val="en-US"/>
        </w:rPr>
        <w:t xml:space="preserve">logical </w:t>
      </w:r>
      <w:r w:rsidR="008F595B">
        <w:rPr>
          <w:b/>
          <w:bCs/>
          <w:lang w:val="en-US"/>
        </w:rPr>
        <w:t>DU</w:t>
      </w:r>
      <w:r w:rsidR="007E0F38">
        <w:rPr>
          <w:b/>
          <w:bCs/>
          <w:lang w:val="en-US"/>
        </w:rPr>
        <w:t xml:space="preserve"> and the </w:t>
      </w:r>
      <w:r w:rsidR="008F595B">
        <w:rPr>
          <w:b/>
          <w:bCs/>
          <w:lang w:val="en-US"/>
        </w:rPr>
        <w:t>cell on the target logical DU</w:t>
      </w:r>
      <w:r w:rsidR="007E0F38">
        <w:rPr>
          <w:b/>
          <w:bCs/>
          <w:lang w:val="en-US"/>
        </w:rPr>
        <w:t xml:space="preserve"> as different cells on </w:t>
      </w:r>
      <w:proofErr w:type="gramStart"/>
      <w:r w:rsidR="00B2470F">
        <w:rPr>
          <w:b/>
          <w:bCs/>
          <w:lang w:val="en-US"/>
        </w:rPr>
        <w:t>layer-</w:t>
      </w:r>
      <w:r w:rsidR="007E0F38">
        <w:rPr>
          <w:b/>
          <w:bCs/>
          <w:lang w:val="en-US"/>
        </w:rPr>
        <w:t>1</w:t>
      </w:r>
      <w:proofErr w:type="gramEnd"/>
      <w:r w:rsidR="007E0F38">
        <w:rPr>
          <w:b/>
          <w:bCs/>
          <w:lang w:val="en-US"/>
        </w:rPr>
        <w:t>.</w:t>
      </w:r>
    </w:p>
    <w:p w14:paraId="3BC02CB3" w14:textId="554D3DAB" w:rsidR="007E0F38" w:rsidRDefault="00DE6DD1" w:rsidP="00DE6DD1">
      <w:pPr>
        <w:spacing w:after="120"/>
        <w:rPr>
          <w:b/>
          <w:bCs/>
          <w:lang w:val="en-US"/>
        </w:rPr>
      </w:pPr>
      <w:r w:rsidRPr="00AC0234">
        <w:rPr>
          <w:b/>
          <w:bCs/>
          <w:lang w:val="en-US"/>
        </w:rPr>
        <w:t xml:space="preserve">Proposal </w:t>
      </w:r>
      <w:r w:rsidR="007E0F38">
        <w:rPr>
          <w:b/>
          <w:bCs/>
          <w:lang w:val="en-US"/>
        </w:rPr>
        <w:t>4</w:t>
      </w:r>
      <w:r w:rsidRPr="00AC0234">
        <w:rPr>
          <w:b/>
          <w:bCs/>
          <w:lang w:val="en-US"/>
        </w:rPr>
        <w:t xml:space="preserve">: </w:t>
      </w:r>
      <w:r w:rsidR="007E0F38">
        <w:rPr>
          <w:b/>
          <w:bCs/>
          <w:lang w:val="en-US"/>
        </w:rPr>
        <w:t xml:space="preserve">An LS to be sent to RAN1 </w:t>
      </w:r>
      <w:r w:rsidR="00050031">
        <w:rPr>
          <w:b/>
          <w:bCs/>
          <w:lang w:val="en-US"/>
        </w:rPr>
        <w:t>to discuss</w:t>
      </w:r>
      <w:r w:rsidR="007E0F38">
        <w:rPr>
          <w:b/>
          <w:bCs/>
          <w:lang w:val="en-US"/>
        </w:rPr>
        <w:t xml:space="preserve"> the resource sharing between the</w:t>
      </w:r>
      <w:r w:rsidR="00B2470F">
        <w:rPr>
          <w:b/>
          <w:bCs/>
          <w:lang w:val="en-US"/>
        </w:rPr>
        <w:t xml:space="preserve"> layer-1</w:t>
      </w:r>
      <w:r w:rsidR="007E0F38">
        <w:rPr>
          <w:b/>
          <w:bCs/>
          <w:lang w:val="en-US"/>
        </w:rPr>
        <w:t xml:space="preserve"> source </w:t>
      </w:r>
      <w:r w:rsidR="00B2470F">
        <w:rPr>
          <w:b/>
          <w:bCs/>
          <w:lang w:val="en-US"/>
        </w:rPr>
        <w:t>and target cells on</w:t>
      </w:r>
      <w:r w:rsidR="007E0F38">
        <w:rPr>
          <w:b/>
          <w:bCs/>
          <w:lang w:val="en-US"/>
        </w:rPr>
        <w:t xml:space="preserve"> the mobile IAB-node.</w:t>
      </w:r>
    </w:p>
    <w:p w14:paraId="69B273B3" w14:textId="3A3BD506" w:rsidR="007E0F38" w:rsidRDefault="007E0F38" w:rsidP="007E0F38">
      <w:pPr>
        <w:spacing w:after="120"/>
        <w:rPr>
          <w:lang w:val="en-US"/>
        </w:rPr>
      </w:pPr>
      <w:r>
        <w:rPr>
          <w:lang w:val="en-US"/>
        </w:rPr>
        <w:t xml:space="preserve">In Rel-17, RAN3 further assumed that partial migration would be the first step of full migration. This implies that the F1AP associations are carried via the mobile IAB-MT’s target path. </w:t>
      </w:r>
      <w:r w:rsidR="00B2470F">
        <w:rPr>
          <w:lang w:val="en-US"/>
        </w:rPr>
        <w:t>Alternatively, it would be</w:t>
      </w:r>
      <w:r>
        <w:rPr>
          <w:lang w:val="en-US"/>
        </w:rPr>
        <w:t xml:space="preserve"> possible to establish the two F1AP associations via the source path before partial migration. </w:t>
      </w:r>
    </w:p>
    <w:p w14:paraId="26EB0C51" w14:textId="59507D60" w:rsidR="007E0F38" w:rsidRPr="007E0F38" w:rsidRDefault="007E0F38" w:rsidP="00213E7A">
      <w:pPr>
        <w:spacing w:after="120"/>
        <w:rPr>
          <w:lang w:val="en-US"/>
        </w:rPr>
      </w:pPr>
      <w:r w:rsidRPr="007E0F38">
        <w:rPr>
          <w:lang w:val="en-US"/>
        </w:rPr>
        <w:t xml:space="preserve">As the baseline, it may be the </w:t>
      </w:r>
      <w:r>
        <w:rPr>
          <w:lang w:val="en-US"/>
        </w:rPr>
        <w:t>easier</w:t>
      </w:r>
      <w:r w:rsidRPr="007E0F38">
        <w:rPr>
          <w:lang w:val="en-US"/>
        </w:rPr>
        <w:t xml:space="preserve"> to assume that </w:t>
      </w:r>
      <w:r>
        <w:rPr>
          <w:lang w:val="en-US"/>
        </w:rPr>
        <w:t xml:space="preserve">partial </w:t>
      </w:r>
      <w:r w:rsidRPr="007E0F38">
        <w:rPr>
          <w:lang w:val="en-US"/>
        </w:rPr>
        <w:t xml:space="preserve">IAB-MT migration is performed as the first step of full migration. This has the advantage that </w:t>
      </w:r>
      <w:r>
        <w:rPr>
          <w:lang w:val="en-US"/>
        </w:rPr>
        <w:t xml:space="preserve">full </w:t>
      </w:r>
      <w:r w:rsidRPr="007E0F38">
        <w:rPr>
          <w:lang w:val="en-US"/>
        </w:rPr>
        <w:t xml:space="preserve">migration can be avoided </w:t>
      </w:r>
      <w:r>
        <w:rPr>
          <w:lang w:val="en-US"/>
        </w:rPr>
        <w:t>in case</w:t>
      </w:r>
      <w:r w:rsidRPr="007E0F38">
        <w:rPr>
          <w:lang w:val="en-US"/>
        </w:rPr>
        <w:t xml:space="preserve"> the IAB-node moves back and forth between </w:t>
      </w:r>
      <w:r>
        <w:rPr>
          <w:lang w:val="en-US"/>
        </w:rPr>
        <w:t xml:space="preserve">the two </w:t>
      </w:r>
      <w:r w:rsidRPr="007E0F38">
        <w:rPr>
          <w:lang w:val="en-US"/>
        </w:rPr>
        <w:t xml:space="preserve">donors. </w:t>
      </w:r>
    </w:p>
    <w:p w14:paraId="30E830FC" w14:textId="76AB8190" w:rsidR="007E0F38" w:rsidRPr="00AC0234" w:rsidRDefault="007E0F38" w:rsidP="007E0F38">
      <w:pPr>
        <w:spacing w:after="120"/>
        <w:rPr>
          <w:b/>
          <w:bCs/>
          <w:lang w:val="en-US"/>
        </w:rPr>
      </w:pPr>
      <w:r w:rsidRPr="00AC0234">
        <w:rPr>
          <w:b/>
          <w:bCs/>
          <w:lang w:val="en-US"/>
        </w:rPr>
        <w:t xml:space="preserve">Proposal </w:t>
      </w:r>
      <w:r w:rsidR="00DD12FD">
        <w:rPr>
          <w:b/>
          <w:bCs/>
          <w:lang w:val="en-US"/>
        </w:rPr>
        <w:t>5</w:t>
      </w:r>
      <w:r w:rsidRPr="00AC023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As the baseline, partial migration to be </w:t>
      </w:r>
      <w:r w:rsidR="00514D10">
        <w:rPr>
          <w:b/>
          <w:bCs/>
          <w:lang w:val="en-US"/>
        </w:rPr>
        <w:t xml:space="preserve">considered </w:t>
      </w:r>
      <w:r>
        <w:rPr>
          <w:b/>
          <w:bCs/>
          <w:lang w:val="en-US"/>
        </w:rPr>
        <w:t>the first step of full migration</w:t>
      </w:r>
      <w:r w:rsidRPr="00AC0234">
        <w:rPr>
          <w:b/>
          <w:bCs/>
          <w:lang w:val="en-US"/>
        </w:rPr>
        <w:t>.</w:t>
      </w:r>
    </w:p>
    <w:p w14:paraId="3857B595" w14:textId="4201D456" w:rsidR="00DD12FD" w:rsidRPr="00DD12FD" w:rsidRDefault="00DD12FD" w:rsidP="00213E7A">
      <w:pPr>
        <w:spacing w:after="120"/>
        <w:rPr>
          <w:lang w:val="en-US"/>
        </w:rPr>
      </w:pPr>
      <w:r>
        <w:rPr>
          <w:lang w:val="en-US"/>
        </w:rPr>
        <w:t xml:space="preserve">Further, for UE handover between </w:t>
      </w:r>
      <w:r w:rsidR="00514D10">
        <w:rPr>
          <w:lang w:val="en-US"/>
        </w:rPr>
        <w:t>the</w:t>
      </w:r>
      <w:r>
        <w:rPr>
          <w:lang w:val="en-US"/>
        </w:rPr>
        <w:t xml:space="preserve"> logical IAB-DUs on the mobile IAB-node, legacy procedures should be used as the baseline.</w:t>
      </w:r>
      <w:r w:rsidRPr="00DD12FD">
        <w:rPr>
          <w:lang w:val="en-US"/>
        </w:rPr>
        <w:t xml:space="preserve"> </w:t>
      </w:r>
    </w:p>
    <w:p w14:paraId="17DDE142" w14:textId="77777777" w:rsidR="00DD12FD" w:rsidRDefault="00DD12FD" w:rsidP="00DD12FD">
      <w:pPr>
        <w:pStyle w:val="ListParagraph"/>
        <w:spacing w:after="120"/>
        <w:rPr>
          <w:lang w:val="en-US"/>
        </w:rPr>
      </w:pPr>
    </w:p>
    <w:p w14:paraId="3617696F" w14:textId="3B5C6FE2" w:rsidR="00DD12FD" w:rsidRDefault="00DD12FD" w:rsidP="00DD12FD">
      <w:pPr>
        <w:pStyle w:val="ListParagraph"/>
        <w:spacing w:after="120"/>
        <w:ind w:left="0"/>
        <w:rPr>
          <w:lang w:val="en-US"/>
        </w:rPr>
      </w:pPr>
      <w:r w:rsidRPr="00AC023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AC023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UE handover between logical IAB-DUs</w:t>
      </w:r>
      <w:r w:rsidR="00245A2A">
        <w:rPr>
          <w:b/>
          <w:bCs/>
          <w:lang w:val="en-US"/>
        </w:rPr>
        <w:t xml:space="preserve"> on the mobile IAB-node</w:t>
      </w:r>
      <w:r>
        <w:rPr>
          <w:b/>
          <w:bCs/>
          <w:lang w:val="en-US"/>
        </w:rPr>
        <w:t xml:space="preserve"> to use legacy procedures as the baseline</w:t>
      </w:r>
      <w:r w:rsidRPr="00AC0234">
        <w:rPr>
          <w:b/>
          <w:bCs/>
          <w:lang w:val="en-US"/>
        </w:rPr>
        <w:t>.</w:t>
      </w:r>
    </w:p>
    <w:p w14:paraId="3B34939A" w14:textId="77777777" w:rsidR="00DD12FD" w:rsidRPr="00911A3A" w:rsidRDefault="00DD12FD" w:rsidP="00DD12FD">
      <w:pPr>
        <w:pStyle w:val="ListParagraph"/>
        <w:spacing w:after="120"/>
        <w:rPr>
          <w:lang w:val="en-US"/>
        </w:rPr>
      </w:pPr>
    </w:p>
    <w:p w14:paraId="13B400CC" w14:textId="150A4A35" w:rsidR="00715050" w:rsidRPr="00320A6B" w:rsidRDefault="00715050" w:rsidP="00715050">
      <w:pPr>
        <w:pStyle w:val="Heading2"/>
      </w:pPr>
      <w:r w:rsidRPr="00320A6B">
        <w:t>2.</w:t>
      </w:r>
      <w:r>
        <w:t>2</w:t>
      </w:r>
      <w:r w:rsidRPr="00320A6B">
        <w:tab/>
      </w:r>
      <w:r>
        <w:t>Other procedures for mobile IAB-node</w:t>
      </w:r>
    </w:p>
    <w:p w14:paraId="1ED822CD" w14:textId="1A710AEC" w:rsidR="00715050" w:rsidRDefault="00895302" w:rsidP="00715050">
      <w:pPr>
        <w:spacing w:after="120"/>
      </w:pPr>
      <w:r>
        <w:t>Rel-17 partial migration allows the mobile IAB-MT to migrate to a new CU while the collocated mobile IAB-DU remains connected with the original CU. In some use cases, where the mobile IAB-node moves across multiple CUs within a local vicinity, it may be beneficial to allow for multiple consecutive partial migrations by the mobile IAB-MT without full migration.</w:t>
      </w:r>
    </w:p>
    <w:p w14:paraId="7DBCC39E" w14:textId="32FBF00D" w:rsidR="00895302" w:rsidRPr="00895302" w:rsidRDefault="00895302" w:rsidP="00715050">
      <w:pPr>
        <w:spacing w:after="120"/>
        <w:rPr>
          <w:b/>
          <w:bCs/>
        </w:rPr>
      </w:pPr>
      <w:r w:rsidRPr="00895302">
        <w:rPr>
          <w:b/>
          <w:bCs/>
        </w:rPr>
        <w:t xml:space="preserve">Proposal </w:t>
      </w:r>
      <w:r w:rsidR="006177A0">
        <w:rPr>
          <w:b/>
          <w:bCs/>
        </w:rPr>
        <w:t>7</w:t>
      </w:r>
      <w:r w:rsidRPr="00895302">
        <w:rPr>
          <w:b/>
          <w:bCs/>
        </w:rPr>
        <w:t>: The mobile IAB-MT can perform multiple consecutive partial migration procedures.</w:t>
      </w:r>
    </w:p>
    <w:p w14:paraId="2B018940" w14:textId="77777777" w:rsidR="00194CC5" w:rsidRDefault="00194CC5" w:rsidP="003A5C13">
      <w:pPr>
        <w:spacing w:after="120"/>
        <w:rPr>
          <w:lang w:val="en-US"/>
        </w:rPr>
      </w:pPr>
    </w:p>
    <w:p w14:paraId="3689B686" w14:textId="0049D1C8" w:rsidR="00121FB7" w:rsidRDefault="00194CC5" w:rsidP="003A5C13">
      <w:pPr>
        <w:spacing w:after="120"/>
        <w:rPr>
          <w:lang w:val="en-US"/>
        </w:rPr>
      </w:pPr>
      <w:r>
        <w:rPr>
          <w:lang w:val="en-US"/>
        </w:rPr>
        <w:t xml:space="preserve">Rel-17 supports CHO for the IAB-MT. The support of CHO therefore also applies to the mobile IAB-node. </w:t>
      </w:r>
    </w:p>
    <w:p w14:paraId="679385B4" w14:textId="35F2DE37" w:rsidR="00194CC5" w:rsidRPr="00194CC5" w:rsidRDefault="00194CC5" w:rsidP="003A5C13">
      <w:pPr>
        <w:spacing w:after="120"/>
        <w:rPr>
          <w:b/>
          <w:bCs/>
          <w:lang w:val="en-US"/>
        </w:rPr>
      </w:pPr>
      <w:r w:rsidRPr="00194CC5">
        <w:rPr>
          <w:b/>
          <w:bCs/>
          <w:lang w:val="en-US"/>
        </w:rPr>
        <w:t xml:space="preserve">Proposal </w:t>
      </w:r>
      <w:r w:rsidR="006177A0">
        <w:rPr>
          <w:b/>
          <w:bCs/>
          <w:lang w:val="en-US"/>
        </w:rPr>
        <w:t>8</w:t>
      </w:r>
      <w:r w:rsidRPr="00194CC5">
        <w:rPr>
          <w:b/>
          <w:bCs/>
          <w:lang w:val="en-US"/>
        </w:rPr>
        <w:t>: Rel-17 CHO for IAB is also supported for the mobile IAB-node.</w:t>
      </w:r>
    </w:p>
    <w:p w14:paraId="77CEAFDF" w14:textId="74FB1A70" w:rsidR="00194CC5" w:rsidRDefault="00194CC5" w:rsidP="003A5C13">
      <w:pPr>
        <w:spacing w:after="120"/>
        <w:rPr>
          <w:lang w:val="en-US"/>
        </w:rPr>
      </w:pPr>
    </w:p>
    <w:p w14:paraId="60324022" w14:textId="13E506E7" w:rsidR="00194CC5" w:rsidRDefault="00194CC5" w:rsidP="003A5C13">
      <w:pPr>
        <w:spacing w:after="120"/>
        <w:rPr>
          <w:lang w:val="en-US"/>
        </w:rPr>
      </w:pPr>
      <w:r>
        <w:rPr>
          <w:lang w:val="en-US"/>
        </w:rPr>
        <w:t xml:space="preserve">Rel-17 spent a lot of time to discuss the use of “DAPS-like” solutions for IAB. The term “DAPS-like” caused confusion across RAN3 and RAN2. Further, RAN3 realized during that discussion that any “DAPS-like” solution for IAB should have to be defined by RAN2. While DAPS may have benefits for mobile IAB, it would still be RAN2 that should take the </w:t>
      </w:r>
      <w:r w:rsidR="006926BA">
        <w:rPr>
          <w:lang w:val="en-US"/>
        </w:rPr>
        <w:t>initiative to define DAPS for IAB.</w:t>
      </w:r>
      <w:r>
        <w:rPr>
          <w:lang w:val="en-US"/>
        </w:rPr>
        <w:t xml:space="preserve"> </w:t>
      </w:r>
    </w:p>
    <w:p w14:paraId="035CD6D6" w14:textId="5D438511" w:rsidR="006926BA" w:rsidRDefault="006926BA" w:rsidP="006926BA">
      <w:pPr>
        <w:spacing w:after="120"/>
        <w:rPr>
          <w:b/>
          <w:bCs/>
          <w:lang w:val="en-US"/>
        </w:rPr>
      </w:pPr>
      <w:r w:rsidRPr="00194CC5">
        <w:rPr>
          <w:b/>
          <w:bCs/>
          <w:lang w:val="en-US"/>
        </w:rPr>
        <w:lastRenderedPageBreak/>
        <w:t xml:space="preserve">Proposal </w:t>
      </w:r>
      <w:r w:rsidR="006177A0">
        <w:rPr>
          <w:b/>
          <w:bCs/>
          <w:lang w:val="en-US"/>
        </w:rPr>
        <w:t>9</w:t>
      </w:r>
      <w:r w:rsidRPr="00194CC5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Any discussion on using DAPS for mobile IAB should be initiated by RAN2</w:t>
      </w:r>
      <w:r w:rsidRPr="00194CC5">
        <w:rPr>
          <w:b/>
          <w:bCs/>
          <w:lang w:val="en-US"/>
        </w:rPr>
        <w:t>.</w:t>
      </w:r>
      <w:r>
        <w:rPr>
          <w:b/>
          <w:bCs/>
          <w:lang w:val="en-US"/>
        </w:rPr>
        <w:t xml:space="preserve"> </w:t>
      </w:r>
    </w:p>
    <w:p w14:paraId="53C96C70" w14:textId="7151DCBA" w:rsidR="006926BA" w:rsidRDefault="006926BA" w:rsidP="006926BA">
      <w:pPr>
        <w:spacing w:after="120"/>
        <w:rPr>
          <w:b/>
          <w:bCs/>
          <w:lang w:val="en-US"/>
        </w:rPr>
      </w:pPr>
    </w:p>
    <w:p w14:paraId="6C8DB5D1" w14:textId="77777777" w:rsidR="006926BA" w:rsidRPr="00194CC5" w:rsidRDefault="006926BA" w:rsidP="006926BA">
      <w:pPr>
        <w:spacing w:after="120"/>
        <w:rPr>
          <w:b/>
          <w:bCs/>
          <w:lang w:val="en-US"/>
        </w:rPr>
      </w:pPr>
    </w:p>
    <w:p w14:paraId="70C3472F" w14:textId="15C65CFE" w:rsidR="006926BA" w:rsidRDefault="006926BA" w:rsidP="006926BA">
      <w:pPr>
        <w:pStyle w:val="Heading2"/>
      </w:pPr>
      <w:r w:rsidRPr="00320A6B">
        <w:t>2.</w:t>
      </w:r>
      <w:r>
        <w:t>3</w:t>
      </w:r>
      <w:r w:rsidRPr="00320A6B">
        <w:tab/>
      </w:r>
      <w:r>
        <w:t>Topology adaptation in absence of Xn</w:t>
      </w:r>
    </w:p>
    <w:p w14:paraId="75EA2AA7" w14:textId="4B2717A5" w:rsidR="006926BA" w:rsidRDefault="0019788E" w:rsidP="006926BA">
      <w:r>
        <w:t xml:space="preserve">Rel-16 and Rel-17 topology adaptation procedures assume that Xn available. For partial migration, Rel-17 IAB further assumes that IP routability is supported between the F1-terminating CU and the IAB-donor-DU2 of the non-F1-terminating CU. While these assumptions are reasonable for stationary IAB deployments, </w:t>
      </w:r>
      <w:r w:rsidR="00C465BE">
        <w:t xml:space="preserve">they </w:t>
      </w:r>
      <w:r>
        <w:t xml:space="preserve">become questionable for mobile IAB use cases, where the IAB-node </w:t>
      </w:r>
      <w:r w:rsidR="00C465BE">
        <w:t>traverse</w:t>
      </w:r>
      <w:r>
        <w:t xml:space="preserve"> large distances (e.g., long distance trains or busses).</w:t>
      </w:r>
    </w:p>
    <w:p w14:paraId="4D8ACDC2" w14:textId="2AC3D840" w:rsidR="0019788E" w:rsidRDefault="0019788E" w:rsidP="006926BA">
      <w:r>
        <w:t xml:space="preserve">RAN3 should therefore </w:t>
      </w:r>
      <w:r w:rsidR="00C465BE">
        <w:t xml:space="preserve">discuss </w:t>
      </w:r>
      <w:r>
        <w:t>how inter-donor topology adaptation can be supported for mobile IAB in absence of Xn and/or inter-donor IP routability.</w:t>
      </w:r>
    </w:p>
    <w:p w14:paraId="1973888A" w14:textId="5D4BFD7C" w:rsidR="00194CC5" w:rsidRPr="0019788E" w:rsidRDefault="0019788E" w:rsidP="0019788E">
      <w:pPr>
        <w:rPr>
          <w:b/>
          <w:bCs/>
        </w:rPr>
      </w:pPr>
      <w:r w:rsidRPr="0019788E">
        <w:rPr>
          <w:b/>
          <w:bCs/>
        </w:rPr>
        <w:t xml:space="preserve">Proposal </w:t>
      </w:r>
      <w:r w:rsidR="006177A0">
        <w:rPr>
          <w:b/>
          <w:bCs/>
        </w:rPr>
        <w:t>10</w:t>
      </w:r>
      <w:r w:rsidRPr="0019788E">
        <w:rPr>
          <w:b/>
          <w:bCs/>
        </w:rPr>
        <w:t>: RAN3 to discuss how inter-donor topology adaptation can be supported for mobile IAB in absence of Xn and/or inter-donor IP routability.</w:t>
      </w:r>
    </w:p>
    <w:p w14:paraId="7A75B7C5" w14:textId="77777777" w:rsidR="00AA423E" w:rsidRDefault="00BC3A5F" w:rsidP="003A5C13">
      <w:pPr>
        <w:spacing w:after="120"/>
        <w:rPr>
          <w:lang w:val="en-US"/>
        </w:rPr>
      </w:pPr>
      <w:r>
        <w:rPr>
          <w:lang w:val="en-US"/>
        </w:rPr>
        <w:t>In case inter-donor IP routability is not available, F1-C could for instance be transported via NGAP analogue to the transport of F1-C over XnAP or X2AP as used for CP/UP separation or ENDC, respectively.</w:t>
      </w:r>
    </w:p>
    <w:p w14:paraId="0F4DC839" w14:textId="3FDE386A" w:rsidR="00194CC5" w:rsidRPr="00AE4A32" w:rsidRDefault="00AA423E" w:rsidP="003A5C13">
      <w:pPr>
        <w:spacing w:after="120"/>
        <w:rPr>
          <w:b/>
          <w:bCs/>
          <w:lang w:val="en-US"/>
        </w:rPr>
      </w:pPr>
      <w:r w:rsidRPr="00AE4A32">
        <w:rPr>
          <w:b/>
          <w:bCs/>
          <w:lang w:val="en-US"/>
        </w:rPr>
        <w:t>Proposal 1</w:t>
      </w:r>
      <w:r w:rsidR="006177A0">
        <w:rPr>
          <w:b/>
          <w:bCs/>
          <w:lang w:val="en-US"/>
        </w:rPr>
        <w:t>1</w:t>
      </w:r>
      <w:r w:rsidRPr="00AE4A32">
        <w:rPr>
          <w:b/>
          <w:bCs/>
          <w:lang w:val="en-US"/>
        </w:rPr>
        <w:t>: For inter-donor topology adaptation</w:t>
      </w:r>
      <w:r w:rsidR="00AE4A32" w:rsidRPr="00AE4A32">
        <w:rPr>
          <w:b/>
          <w:bCs/>
          <w:lang w:val="en-US"/>
        </w:rPr>
        <w:t xml:space="preserve"> </w:t>
      </w:r>
      <w:r w:rsidR="0045378B">
        <w:rPr>
          <w:b/>
          <w:bCs/>
          <w:lang w:val="en-US"/>
        </w:rPr>
        <w:t>in absence of</w:t>
      </w:r>
      <w:r w:rsidR="00AE4A32" w:rsidRPr="00AE4A32">
        <w:rPr>
          <w:b/>
          <w:bCs/>
          <w:lang w:val="en-US"/>
        </w:rPr>
        <w:t xml:space="preserve"> inter-donor IP routability</w:t>
      </w:r>
      <w:r w:rsidRPr="00AE4A32">
        <w:rPr>
          <w:b/>
          <w:bCs/>
          <w:lang w:val="en-US"/>
        </w:rPr>
        <w:t>, RAN3 to consider F1-C transport over NGAP.</w:t>
      </w:r>
      <w:r w:rsidR="00BC3A5F" w:rsidRPr="00AE4A32">
        <w:rPr>
          <w:b/>
          <w:bCs/>
          <w:lang w:val="en-US"/>
        </w:rPr>
        <w:t xml:space="preserve"> 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1508AC5B" w:rsidR="0096408F" w:rsidRPr="0096408F" w:rsidRDefault="0096408F" w:rsidP="0096408F">
      <w:pPr>
        <w:spacing w:after="0"/>
      </w:pPr>
      <w:r>
        <w:t xml:space="preserve">This contribution discussed </w:t>
      </w:r>
      <w:r w:rsidRPr="0096408F">
        <w:t>procedure</w:t>
      </w:r>
      <w:r>
        <w:t>s</w:t>
      </w:r>
      <w:r w:rsidRPr="0096408F">
        <w:t xml:space="preserve"> </w:t>
      </w:r>
      <w:r w:rsidRPr="006177A0">
        <w:t xml:space="preserve">to </w:t>
      </w:r>
      <w:r w:rsidR="006177A0" w:rsidRPr="006177A0">
        <w:t>for migration/topology adaptation to enable IAB-node mobility, including inter-donor migration</w:t>
      </w:r>
      <w:r>
        <w:t>. The following proposals have been made:</w:t>
      </w:r>
    </w:p>
    <w:p w14:paraId="250BD53F" w14:textId="77777777" w:rsidR="0096408F" w:rsidRDefault="0096408F" w:rsidP="0096408F">
      <w:pPr>
        <w:spacing w:after="0"/>
      </w:pPr>
    </w:p>
    <w:p w14:paraId="39F7754E" w14:textId="77777777" w:rsidR="006177A0" w:rsidRDefault="006177A0" w:rsidP="006177A0">
      <w:pPr>
        <w:spacing w:after="120"/>
        <w:rPr>
          <w:b/>
          <w:bCs/>
          <w:lang w:val="en-US"/>
        </w:rPr>
      </w:pPr>
      <w:r w:rsidRPr="00AC0234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>During</w:t>
      </w:r>
      <w:r w:rsidRPr="00AC0234">
        <w:rPr>
          <w:b/>
          <w:bCs/>
          <w:lang w:val="en-US"/>
        </w:rPr>
        <w:t xml:space="preserve"> full migration, </w:t>
      </w:r>
      <w:r>
        <w:rPr>
          <w:b/>
          <w:bCs/>
          <w:lang w:val="en-US"/>
        </w:rPr>
        <w:t>the mobile IAB-node to concurrently support two</w:t>
      </w:r>
      <w:r w:rsidRPr="00AC023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logical DUs, referred to as source and target IAB-DUs, which have F1AP associations with CU1 and CU2, respectively.</w:t>
      </w:r>
    </w:p>
    <w:p w14:paraId="655BF179" w14:textId="6796A732" w:rsidR="006177A0" w:rsidRPr="00AC0234" w:rsidRDefault="006177A0" w:rsidP="006177A0">
      <w:pPr>
        <w:spacing w:after="120"/>
        <w:rPr>
          <w:b/>
          <w:bCs/>
          <w:lang w:val="en-US"/>
        </w:rPr>
      </w:pPr>
      <w:r w:rsidRPr="00AC023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AC023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The UE</w:t>
      </w:r>
      <w:r w:rsidR="00D4120E">
        <w:rPr>
          <w:b/>
          <w:bCs/>
          <w:lang w:val="en-US"/>
        </w:rPr>
        <w:t>s</w:t>
      </w:r>
      <w:r>
        <w:rPr>
          <w:b/>
          <w:bCs/>
          <w:lang w:val="en-US"/>
        </w:rPr>
        <w:t xml:space="preserve"> connected to the mobile IAB-node to be handed over between a cell on the source logical DU and a cell on the target logical DU.</w:t>
      </w:r>
    </w:p>
    <w:p w14:paraId="00564409" w14:textId="77777777" w:rsidR="006177A0" w:rsidRDefault="006177A0" w:rsidP="006177A0">
      <w:pPr>
        <w:spacing w:after="120"/>
        <w:rPr>
          <w:b/>
          <w:bCs/>
          <w:lang w:val="en-US"/>
        </w:rPr>
      </w:pPr>
      <w:r w:rsidRPr="00A5155E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A5155E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RAN3 assumes that the UE needs to be able to see the cell on the source logical DU and the cell on the target logical DU as different cells on </w:t>
      </w:r>
      <w:proofErr w:type="gramStart"/>
      <w:r>
        <w:rPr>
          <w:b/>
          <w:bCs/>
          <w:lang w:val="en-US"/>
        </w:rPr>
        <w:t>layer-1</w:t>
      </w:r>
      <w:proofErr w:type="gramEnd"/>
      <w:r>
        <w:rPr>
          <w:b/>
          <w:bCs/>
          <w:lang w:val="en-US"/>
        </w:rPr>
        <w:t>.</w:t>
      </w:r>
    </w:p>
    <w:p w14:paraId="087CC385" w14:textId="77777777" w:rsidR="006177A0" w:rsidRDefault="006177A0" w:rsidP="006177A0">
      <w:pPr>
        <w:spacing w:after="120"/>
        <w:rPr>
          <w:b/>
          <w:bCs/>
          <w:lang w:val="en-US"/>
        </w:rPr>
      </w:pPr>
      <w:r w:rsidRPr="00AC023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AC023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An LS to be sent to RAN1 to discuss the resource sharing between the layer-1 source and target cells on the mobile IAB-node.</w:t>
      </w:r>
    </w:p>
    <w:p w14:paraId="44CE59FE" w14:textId="77777777" w:rsidR="006177A0" w:rsidRPr="00AC0234" w:rsidRDefault="006177A0" w:rsidP="006177A0">
      <w:pPr>
        <w:spacing w:after="120"/>
        <w:rPr>
          <w:b/>
          <w:bCs/>
          <w:lang w:val="en-US"/>
        </w:rPr>
      </w:pPr>
      <w:r w:rsidRPr="00AC023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AC023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As the baseline, partial migration to be considered the first step of full migration</w:t>
      </w:r>
      <w:r w:rsidRPr="00AC0234">
        <w:rPr>
          <w:b/>
          <w:bCs/>
          <w:lang w:val="en-US"/>
        </w:rPr>
        <w:t>.</w:t>
      </w:r>
    </w:p>
    <w:p w14:paraId="24689E77" w14:textId="77777777" w:rsidR="006177A0" w:rsidRDefault="006177A0" w:rsidP="006177A0">
      <w:pPr>
        <w:pStyle w:val="ListParagraph"/>
        <w:spacing w:after="120"/>
        <w:ind w:left="0"/>
        <w:rPr>
          <w:lang w:val="en-US"/>
        </w:rPr>
      </w:pPr>
      <w:r w:rsidRPr="00AC023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AC023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UE handover between logical IAB-DUs on the mobile IAB-node to use legacy procedures as the baseline</w:t>
      </w:r>
      <w:r w:rsidRPr="00AC0234">
        <w:rPr>
          <w:b/>
          <w:bCs/>
          <w:lang w:val="en-US"/>
        </w:rPr>
        <w:t>.</w:t>
      </w:r>
    </w:p>
    <w:p w14:paraId="1E125F05" w14:textId="77777777" w:rsidR="006177A0" w:rsidRPr="00895302" w:rsidRDefault="006177A0" w:rsidP="006177A0">
      <w:pPr>
        <w:spacing w:after="120"/>
        <w:rPr>
          <w:b/>
          <w:bCs/>
        </w:rPr>
      </w:pPr>
      <w:r w:rsidRPr="00895302">
        <w:rPr>
          <w:b/>
          <w:bCs/>
        </w:rPr>
        <w:t xml:space="preserve">Proposal </w:t>
      </w:r>
      <w:r>
        <w:rPr>
          <w:b/>
          <w:bCs/>
        </w:rPr>
        <w:t>7</w:t>
      </w:r>
      <w:r w:rsidRPr="00895302">
        <w:rPr>
          <w:b/>
          <w:bCs/>
        </w:rPr>
        <w:t>: The mobile IAB-MT can perform multiple consecutive partial migration procedures.</w:t>
      </w:r>
    </w:p>
    <w:p w14:paraId="6E320DEA" w14:textId="77777777" w:rsidR="006177A0" w:rsidRPr="00194CC5" w:rsidRDefault="006177A0" w:rsidP="006177A0">
      <w:pPr>
        <w:spacing w:after="120"/>
        <w:rPr>
          <w:b/>
          <w:bCs/>
          <w:lang w:val="en-US"/>
        </w:rPr>
      </w:pPr>
      <w:r w:rsidRPr="00194CC5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8</w:t>
      </w:r>
      <w:r w:rsidRPr="00194CC5">
        <w:rPr>
          <w:b/>
          <w:bCs/>
          <w:lang w:val="en-US"/>
        </w:rPr>
        <w:t>: Rel-17 CHO for IAB is also supported for the mobile IAB-node.</w:t>
      </w:r>
    </w:p>
    <w:p w14:paraId="321C21C5" w14:textId="77777777" w:rsidR="006177A0" w:rsidRDefault="006177A0" w:rsidP="006177A0">
      <w:pPr>
        <w:spacing w:after="120"/>
        <w:rPr>
          <w:b/>
          <w:bCs/>
          <w:lang w:val="en-US"/>
        </w:rPr>
      </w:pPr>
      <w:r w:rsidRPr="00194CC5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9</w:t>
      </w:r>
      <w:r w:rsidRPr="00194CC5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Any discussion on using DAPS for mobile IAB should be initiated by RAN2</w:t>
      </w:r>
      <w:r w:rsidRPr="00194CC5">
        <w:rPr>
          <w:b/>
          <w:bCs/>
          <w:lang w:val="en-US"/>
        </w:rPr>
        <w:t>.</w:t>
      </w:r>
      <w:r>
        <w:rPr>
          <w:b/>
          <w:bCs/>
          <w:lang w:val="en-US"/>
        </w:rPr>
        <w:t xml:space="preserve"> </w:t>
      </w:r>
    </w:p>
    <w:p w14:paraId="615A0C0D" w14:textId="77777777" w:rsidR="006177A0" w:rsidRPr="0019788E" w:rsidRDefault="006177A0" w:rsidP="006177A0">
      <w:pPr>
        <w:rPr>
          <w:b/>
          <w:bCs/>
        </w:rPr>
      </w:pPr>
      <w:r w:rsidRPr="0019788E">
        <w:rPr>
          <w:b/>
          <w:bCs/>
        </w:rPr>
        <w:t xml:space="preserve">Proposal </w:t>
      </w:r>
      <w:r>
        <w:rPr>
          <w:b/>
          <w:bCs/>
        </w:rPr>
        <w:t>10</w:t>
      </w:r>
      <w:r w:rsidRPr="0019788E">
        <w:rPr>
          <w:b/>
          <w:bCs/>
        </w:rPr>
        <w:t>: RAN3 to discuss how inter-donor topology adaptation can be supported for mobile IAB in absence of Xn and/or inter-donor IP routability.</w:t>
      </w:r>
    </w:p>
    <w:p w14:paraId="00CFC8B0" w14:textId="77777777" w:rsidR="006177A0" w:rsidRPr="00AE4A32" w:rsidRDefault="006177A0" w:rsidP="006177A0">
      <w:pPr>
        <w:spacing w:after="120"/>
        <w:rPr>
          <w:b/>
          <w:bCs/>
          <w:lang w:val="en-US"/>
        </w:rPr>
      </w:pPr>
      <w:r w:rsidRPr="00AE4A32">
        <w:rPr>
          <w:b/>
          <w:bCs/>
          <w:lang w:val="en-US"/>
        </w:rPr>
        <w:t>Proposal 1</w:t>
      </w:r>
      <w:r>
        <w:rPr>
          <w:b/>
          <w:bCs/>
          <w:lang w:val="en-US"/>
        </w:rPr>
        <w:t>1</w:t>
      </w:r>
      <w:r w:rsidRPr="00AE4A32">
        <w:rPr>
          <w:b/>
          <w:bCs/>
          <w:lang w:val="en-US"/>
        </w:rPr>
        <w:t xml:space="preserve">: For inter-donor topology adaptation </w:t>
      </w:r>
      <w:r>
        <w:rPr>
          <w:b/>
          <w:bCs/>
          <w:lang w:val="en-US"/>
        </w:rPr>
        <w:t>in absence of</w:t>
      </w:r>
      <w:r w:rsidRPr="00AE4A32">
        <w:rPr>
          <w:b/>
          <w:bCs/>
          <w:lang w:val="en-US"/>
        </w:rPr>
        <w:t xml:space="preserve"> inter-donor IP routability, RAN3 to consider F1-C transport over NGAP. 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771325E3" w:rsidR="00167A87" w:rsidRDefault="00034BF8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 w:rsidRPr="00F04C08">
        <w:rPr>
          <w:lang w:eastAsia="zh-CN"/>
        </w:rPr>
        <w:t>RP-2</w:t>
      </w:r>
      <w:r w:rsidR="00EA0AAF">
        <w:rPr>
          <w:lang w:eastAsia="zh-CN"/>
        </w:rPr>
        <w:t>21815</w:t>
      </w:r>
      <w:r w:rsidR="00167A87" w:rsidRPr="00F04C08">
        <w:rPr>
          <w:lang w:val="en-US" w:eastAsia="zh-CN"/>
        </w:rPr>
        <w:t>: Revised WID for NR_</w:t>
      </w:r>
      <w:r w:rsidR="00EA0AAF">
        <w:rPr>
          <w:lang w:val="en-US" w:eastAsia="zh-CN"/>
        </w:rPr>
        <w:t>mobile_</w:t>
      </w:r>
      <w:r w:rsidR="00167A87" w:rsidRPr="00F04C08">
        <w:rPr>
          <w:lang w:val="en-US" w:eastAsia="zh-CN"/>
        </w:rPr>
        <w:t>IAB; TSG RAN Meeting #</w:t>
      </w:r>
      <w:r w:rsidR="00BC175D" w:rsidRPr="00F04C08">
        <w:rPr>
          <w:lang w:val="en-US" w:eastAsia="zh-CN"/>
        </w:rPr>
        <w:t>9</w:t>
      </w:r>
      <w:r w:rsidR="00EA0AAF">
        <w:rPr>
          <w:lang w:val="en-US" w:eastAsia="zh-CN"/>
        </w:rPr>
        <w:t>6</w:t>
      </w:r>
      <w:r w:rsidR="00167A87" w:rsidRPr="00F04C08">
        <w:rPr>
          <w:lang w:val="en-US" w:eastAsia="zh-CN"/>
        </w:rPr>
        <w:t xml:space="preserve">, </w:t>
      </w:r>
      <w:r w:rsidR="00EA0AAF">
        <w:rPr>
          <w:lang w:val="en-US" w:eastAsia="zh-CN"/>
        </w:rPr>
        <w:t>Budapest, Hungary, June 6 - 9</w:t>
      </w:r>
      <w:r w:rsidR="00167A87" w:rsidRPr="00F04C08">
        <w:rPr>
          <w:lang w:val="en-US" w:eastAsia="zh-CN"/>
        </w:rPr>
        <w:t>, 20</w:t>
      </w:r>
      <w:r w:rsidR="0036720B" w:rsidRPr="00F04C08">
        <w:rPr>
          <w:lang w:val="en-US" w:eastAsia="zh-CN"/>
        </w:rPr>
        <w:t>2</w:t>
      </w:r>
      <w:r w:rsidR="00EA0AAF">
        <w:rPr>
          <w:lang w:val="en-US" w:eastAsia="zh-CN"/>
        </w:rPr>
        <w:t>2</w:t>
      </w:r>
    </w:p>
    <w:p w14:paraId="34A16E66" w14:textId="6C5A31DF" w:rsidR="00713611" w:rsidRDefault="00713611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 xml:space="preserve">R3-212981: </w:t>
      </w:r>
      <w:r w:rsidRPr="00213E7A">
        <w:rPr>
          <w:lang w:val="en-US" w:eastAsia="zh-CN"/>
        </w:rPr>
        <w:t xml:space="preserve">LS on </w:t>
      </w:r>
      <w:r w:rsidR="000F4EBC">
        <w:rPr>
          <w:lang w:val="en-US" w:eastAsia="zh-CN"/>
        </w:rPr>
        <w:t>i</w:t>
      </w:r>
      <w:r w:rsidRPr="00213E7A">
        <w:rPr>
          <w:lang w:val="en-US" w:eastAsia="zh-CN"/>
        </w:rPr>
        <w:t xml:space="preserve">nter-donor migration, 3GPP </w:t>
      </w:r>
      <w:bookmarkStart w:id="1" w:name="OLE_LINK52"/>
      <w:bookmarkStart w:id="2" w:name="OLE_LINK51"/>
      <w:bookmarkStart w:id="3" w:name="OLE_LINK50"/>
      <w:r w:rsidRPr="00213E7A">
        <w:rPr>
          <w:lang w:val="en-US" w:eastAsia="zh-CN"/>
        </w:rPr>
        <w:t>TSG-RAN WG3</w:t>
      </w:r>
      <w:bookmarkEnd w:id="1"/>
      <w:bookmarkEnd w:id="2"/>
      <w:bookmarkEnd w:id="3"/>
      <w:r w:rsidRPr="00213E7A">
        <w:rPr>
          <w:lang w:val="en-US" w:eastAsia="zh-CN"/>
        </w:rPr>
        <w:t xml:space="preserve"> Meeting #112-e, E-meeting, May 2021.                                                                        </w:t>
      </w:r>
    </w:p>
    <w:p w14:paraId="698966B4" w14:textId="25608EA1" w:rsidR="00FB11CA" w:rsidRPr="00FB11CA" w:rsidRDefault="000F4EBC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  <w:r>
        <w:rPr>
          <w:lang w:val="en-US" w:eastAsia="zh-CN"/>
        </w:rPr>
        <w:t>[3</w:t>
      </w:r>
      <w:proofErr w:type="gramStart"/>
      <w:r>
        <w:rPr>
          <w:lang w:val="en-US" w:eastAsia="zh-CN"/>
        </w:rPr>
        <w:t xml:space="preserve">] </w:t>
      </w:r>
      <w:r w:rsidR="00D8089E">
        <w:rPr>
          <w:lang w:val="en-US" w:eastAsia="zh-CN"/>
        </w:rPr>
        <w:t xml:space="preserve"> </w:t>
      </w:r>
      <w:r w:rsidRPr="00213E7A">
        <w:rPr>
          <w:lang w:val="en-US" w:eastAsia="zh-CN"/>
        </w:rPr>
        <w:t>R</w:t>
      </w:r>
      <w:proofErr w:type="gramEnd"/>
      <w:r w:rsidRPr="00213E7A">
        <w:rPr>
          <w:lang w:val="en-US" w:eastAsia="zh-CN"/>
        </w:rPr>
        <w:t>3-214690: Reply LS on Inter-donor migration, 3GPP TSG-RAN3 Meeting #114-e, E-meeting, November 2021.</w:t>
      </w:r>
    </w:p>
    <w:bookmarkEnd w:id="0"/>
    <w:p w14:paraId="18A8108C" w14:textId="77777777" w:rsidR="00080512" w:rsidRPr="00320A6B" w:rsidRDefault="00080512" w:rsidP="00D8089E">
      <w:pPr>
        <w:overflowPunct w:val="0"/>
        <w:autoSpaceDE w:val="0"/>
        <w:autoSpaceDN w:val="0"/>
        <w:adjustRightInd w:val="0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4C3A6" w14:textId="77777777" w:rsidR="00690516" w:rsidRDefault="00690516">
      <w:r>
        <w:separator/>
      </w:r>
    </w:p>
  </w:endnote>
  <w:endnote w:type="continuationSeparator" w:id="0">
    <w:p w14:paraId="4DE133AB" w14:textId="77777777" w:rsidR="00690516" w:rsidRDefault="0069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3329C" w14:textId="77777777" w:rsidR="00690516" w:rsidRDefault="00690516">
      <w:r>
        <w:separator/>
      </w:r>
    </w:p>
  </w:footnote>
  <w:footnote w:type="continuationSeparator" w:id="0">
    <w:p w14:paraId="1372B59F" w14:textId="77777777" w:rsidR="00690516" w:rsidRDefault="00690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4461"/>
    <w:multiLevelType w:val="hybridMultilevel"/>
    <w:tmpl w:val="1C880F2A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B6084"/>
    <w:multiLevelType w:val="hybridMultilevel"/>
    <w:tmpl w:val="F3FCCC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B778F"/>
    <w:multiLevelType w:val="hybridMultilevel"/>
    <w:tmpl w:val="39DC06A6"/>
    <w:lvl w:ilvl="0" w:tplc="25A6D9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3253C"/>
    <w:multiLevelType w:val="hybridMultilevel"/>
    <w:tmpl w:val="7EA84FA2"/>
    <w:lvl w:ilvl="0" w:tplc="F61EA4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63CD2"/>
    <w:multiLevelType w:val="hybridMultilevel"/>
    <w:tmpl w:val="0F0C8E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C58A6"/>
    <w:multiLevelType w:val="hybridMultilevel"/>
    <w:tmpl w:val="8CDC4CC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4B5A8F"/>
    <w:multiLevelType w:val="hybridMultilevel"/>
    <w:tmpl w:val="F86612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2EFB"/>
    <w:multiLevelType w:val="hybridMultilevel"/>
    <w:tmpl w:val="B7C4494A"/>
    <w:lvl w:ilvl="0" w:tplc="6D26C8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72AF1"/>
    <w:multiLevelType w:val="hybridMultilevel"/>
    <w:tmpl w:val="20F0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81303D"/>
    <w:multiLevelType w:val="hybridMultilevel"/>
    <w:tmpl w:val="7D50FA34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F5FE0"/>
    <w:multiLevelType w:val="hybridMultilevel"/>
    <w:tmpl w:val="2230C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D6EF3"/>
    <w:multiLevelType w:val="hybridMultilevel"/>
    <w:tmpl w:val="1E4A5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10572"/>
    <w:multiLevelType w:val="hybridMultilevel"/>
    <w:tmpl w:val="0B2C1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0C35"/>
    <w:multiLevelType w:val="hybridMultilevel"/>
    <w:tmpl w:val="F72A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5E02"/>
    <w:multiLevelType w:val="hybridMultilevel"/>
    <w:tmpl w:val="86E6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25" w15:restartNumberingAfterBreak="0">
    <w:nsid w:val="7CB63732"/>
    <w:multiLevelType w:val="multilevel"/>
    <w:tmpl w:val="89784A8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17"/>
  </w:num>
  <w:num w:numId="4">
    <w:abstractNumId w:val="7"/>
  </w:num>
  <w:num w:numId="5">
    <w:abstractNumId w:val="0"/>
  </w:num>
  <w:num w:numId="6">
    <w:abstractNumId w:val="19"/>
  </w:num>
  <w:num w:numId="7">
    <w:abstractNumId w:val="16"/>
  </w:num>
  <w:num w:numId="8">
    <w:abstractNumId w:val="25"/>
  </w:num>
  <w:num w:numId="9">
    <w:abstractNumId w:val="12"/>
  </w:num>
  <w:num w:numId="10">
    <w:abstractNumId w:val="21"/>
  </w:num>
  <w:num w:numId="11">
    <w:abstractNumId w:val="22"/>
  </w:num>
  <w:num w:numId="12">
    <w:abstractNumId w:val="3"/>
  </w:num>
  <w:num w:numId="13">
    <w:abstractNumId w:val="15"/>
  </w:num>
  <w:num w:numId="14">
    <w:abstractNumId w:val="13"/>
  </w:num>
  <w:num w:numId="15">
    <w:abstractNumId w:val="20"/>
  </w:num>
  <w:num w:numId="16">
    <w:abstractNumId w:val="10"/>
  </w:num>
  <w:num w:numId="17">
    <w:abstractNumId w:val="14"/>
  </w:num>
  <w:num w:numId="18">
    <w:abstractNumId w:val="18"/>
  </w:num>
  <w:num w:numId="19">
    <w:abstractNumId w:val="23"/>
  </w:num>
  <w:num w:numId="20">
    <w:abstractNumId w:val="1"/>
  </w:num>
  <w:num w:numId="21">
    <w:abstractNumId w:val="2"/>
  </w:num>
  <w:num w:numId="22">
    <w:abstractNumId w:val="6"/>
  </w:num>
  <w:num w:numId="23">
    <w:abstractNumId w:val="8"/>
  </w:num>
  <w:num w:numId="24">
    <w:abstractNumId w:val="5"/>
  </w:num>
  <w:num w:numId="25">
    <w:abstractNumId w:val="9"/>
  </w:num>
  <w:num w:numId="26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8BC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6FE5"/>
    <w:rsid w:val="0004707F"/>
    <w:rsid w:val="00050031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4D19"/>
    <w:rsid w:val="000B7BCF"/>
    <w:rsid w:val="000C0524"/>
    <w:rsid w:val="000C2CA3"/>
    <w:rsid w:val="000C2D34"/>
    <w:rsid w:val="000C415C"/>
    <w:rsid w:val="000C416C"/>
    <w:rsid w:val="000C4560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1232"/>
    <w:rsid w:val="00101BA1"/>
    <w:rsid w:val="00102DAD"/>
    <w:rsid w:val="00104704"/>
    <w:rsid w:val="00106455"/>
    <w:rsid w:val="00107EE0"/>
    <w:rsid w:val="00111B2B"/>
    <w:rsid w:val="0011222A"/>
    <w:rsid w:val="0011470F"/>
    <w:rsid w:val="001158B5"/>
    <w:rsid w:val="00116DE8"/>
    <w:rsid w:val="00120844"/>
    <w:rsid w:val="00120C85"/>
    <w:rsid w:val="00121FB7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24C"/>
    <w:rsid w:val="00163DF7"/>
    <w:rsid w:val="00163E1F"/>
    <w:rsid w:val="00167246"/>
    <w:rsid w:val="00167A87"/>
    <w:rsid w:val="00171DBA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C5"/>
    <w:rsid w:val="00194CD0"/>
    <w:rsid w:val="00196C23"/>
    <w:rsid w:val="0019788E"/>
    <w:rsid w:val="001A16DE"/>
    <w:rsid w:val="001A2B4C"/>
    <w:rsid w:val="001A6D8E"/>
    <w:rsid w:val="001A7342"/>
    <w:rsid w:val="001B39BC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D6DC6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6ED3"/>
    <w:rsid w:val="00207079"/>
    <w:rsid w:val="0021353E"/>
    <w:rsid w:val="002138DD"/>
    <w:rsid w:val="00213E7A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36E01"/>
    <w:rsid w:val="00242D19"/>
    <w:rsid w:val="0024485F"/>
    <w:rsid w:val="00245A2A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879DE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2F6BC2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6E2"/>
    <w:rsid w:val="00320A6B"/>
    <w:rsid w:val="00320E41"/>
    <w:rsid w:val="00321520"/>
    <w:rsid w:val="00322D89"/>
    <w:rsid w:val="00326069"/>
    <w:rsid w:val="00326242"/>
    <w:rsid w:val="00331D99"/>
    <w:rsid w:val="0033423E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07EE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A5F6D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076FE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6CA"/>
    <w:rsid w:val="004378F1"/>
    <w:rsid w:val="00437E0C"/>
    <w:rsid w:val="00440961"/>
    <w:rsid w:val="00440AA6"/>
    <w:rsid w:val="00443341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0D2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803"/>
    <w:rsid w:val="004C1974"/>
    <w:rsid w:val="004C229D"/>
    <w:rsid w:val="004C2E68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4D10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296F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1952"/>
    <w:rsid w:val="005920E6"/>
    <w:rsid w:val="00593B6E"/>
    <w:rsid w:val="0059501A"/>
    <w:rsid w:val="00596A54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5C31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0359"/>
    <w:rsid w:val="006112AF"/>
    <w:rsid w:val="00611566"/>
    <w:rsid w:val="00611F13"/>
    <w:rsid w:val="00613340"/>
    <w:rsid w:val="00614EE6"/>
    <w:rsid w:val="00615CCD"/>
    <w:rsid w:val="006177A0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37E48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2592"/>
    <w:rsid w:val="0066344B"/>
    <w:rsid w:val="006645DE"/>
    <w:rsid w:val="00665BE7"/>
    <w:rsid w:val="00666483"/>
    <w:rsid w:val="00666DD5"/>
    <w:rsid w:val="006678B0"/>
    <w:rsid w:val="00670013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0516"/>
    <w:rsid w:val="006926BA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6D90"/>
    <w:rsid w:val="006E7397"/>
    <w:rsid w:val="006F0D09"/>
    <w:rsid w:val="006F0EE0"/>
    <w:rsid w:val="006F1C88"/>
    <w:rsid w:val="006F25E4"/>
    <w:rsid w:val="006F32EA"/>
    <w:rsid w:val="006F3ADE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3611"/>
    <w:rsid w:val="00715050"/>
    <w:rsid w:val="00716280"/>
    <w:rsid w:val="0071689E"/>
    <w:rsid w:val="00717A1C"/>
    <w:rsid w:val="0072014D"/>
    <w:rsid w:val="00721FCB"/>
    <w:rsid w:val="00723E91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95B"/>
    <w:rsid w:val="00771BCD"/>
    <w:rsid w:val="00773ACB"/>
    <w:rsid w:val="00776516"/>
    <w:rsid w:val="00776C2C"/>
    <w:rsid w:val="007811A2"/>
    <w:rsid w:val="00781F0F"/>
    <w:rsid w:val="0078206E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0F38"/>
    <w:rsid w:val="007E4556"/>
    <w:rsid w:val="007E457A"/>
    <w:rsid w:val="007E515A"/>
    <w:rsid w:val="007F04EE"/>
    <w:rsid w:val="007F14AD"/>
    <w:rsid w:val="007F31EB"/>
    <w:rsid w:val="007F448E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27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95302"/>
    <w:rsid w:val="008A07BA"/>
    <w:rsid w:val="008A15D5"/>
    <w:rsid w:val="008A203C"/>
    <w:rsid w:val="008A27FC"/>
    <w:rsid w:val="008A2D12"/>
    <w:rsid w:val="008B0676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069"/>
    <w:rsid w:val="008D039A"/>
    <w:rsid w:val="008D05CE"/>
    <w:rsid w:val="008D0839"/>
    <w:rsid w:val="008D1CD5"/>
    <w:rsid w:val="008D2258"/>
    <w:rsid w:val="008D467A"/>
    <w:rsid w:val="008E131E"/>
    <w:rsid w:val="008E345E"/>
    <w:rsid w:val="008E3B19"/>
    <w:rsid w:val="008E412B"/>
    <w:rsid w:val="008F2039"/>
    <w:rsid w:val="008F2BF7"/>
    <w:rsid w:val="008F2E9A"/>
    <w:rsid w:val="008F595B"/>
    <w:rsid w:val="00901335"/>
    <w:rsid w:val="0090187C"/>
    <w:rsid w:val="009024E8"/>
    <w:rsid w:val="0090271F"/>
    <w:rsid w:val="00902DB9"/>
    <w:rsid w:val="0090466A"/>
    <w:rsid w:val="009062D3"/>
    <w:rsid w:val="00907DD2"/>
    <w:rsid w:val="009117E5"/>
    <w:rsid w:val="00911A3A"/>
    <w:rsid w:val="00911DEA"/>
    <w:rsid w:val="00912CD4"/>
    <w:rsid w:val="00917ABE"/>
    <w:rsid w:val="0092024A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5B30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08F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4CEB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4C6A"/>
    <w:rsid w:val="009F7E84"/>
    <w:rsid w:val="00A03B42"/>
    <w:rsid w:val="00A05DE2"/>
    <w:rsid w:val="00A067FE"/>
    <w:rsid w:val="00A10F02"/>
    <w:rsid w:val="00A11888"/>
    <w:rsid w:val="00A14E25"/>
    <w:rsid w:val="00A15FB2"/>
    <w:rsid w:val="00A1670F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1503"/>
    <w:rsid w:val="00A423AE"/>
    <w:rsid w:val="00A43A2E"/>
    <w:rsid w:val="00A44AE9"/>
    <w:rsid w:val="00A45665"/>
    <w:rsid w:val="00A5155E"/>
    <w:rsid w:val="00A52986"/>
    <w:rsid w:val="00A52CC6"/>
    <w:rsid w:val="00A53374"/>
    <w:rsid w:val="00A53724"/>
    <w:rsid w:val="00A54875"/>
    <w:rsid w:val="00A55549"/>
    <w:rsid w:val="00A566A2"/>
    <w:rsid w:val="00A62BFC"/>
    <w:rsid w:val="00A6496B"/>
    <w:rsid w:val="00A65425"/>
    <w:rsid w:val="00A65C1F"/>
    <w:rsid w:val="00A66990"/>
    <w:rsid w:val="00A718DA"/>
    <w:rsid w:val="00A7247E"/>
    <w:rsid w:val="00A73886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23E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A5A"/>
    <w:rsid w:val="00AB71C6"/>
    <w:rsid w:val="00AB7EA2"/>
    <w:rsid w:val="00AC0234"/>
    <w:rsid w:val="00AC1E31"/>
    <w:rsid w:val="00AC26C2"/>
    <w:rsid w:val="00AC3E63"/>
    <w:rsid w:val="00AC4320"/>
    <w:rsid w:val="00AC53FE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4A32"/>
    <w:rsid w:val="00AE5998"/>
    <w:rsid w:val="00AE5A3F"/>
    <w:rsid w:val="00AE67B2"/>
    <w:rsid w:val="00AE7394"/>
    <w:rsid w:val="00AE7935"/>
    <w:rsid w:val="00AF1C7D"/>
    <w:rsid w:val="00AF20A6"/>
    <w:rsid w:val="00AF25B2"/>
    <w:rsid w:val="00AF2778"/>
    <w:rsid w:val="00AF3563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470F"/>
    <w:rsid w:val="00B2755F"/>
    <w:rsid w:val="00B30ADA"/>
    <w:rsid w:val="00B3285A"/>
    <w:rsid w:val="00B331AE"/>
    <w:rsid w:val="00B359B7"/>
    <w:rsid w:val="00B36BDD"/>
    <w:rsid w:val="00B40C67"/>
    <w:rsid w:val="00B42667"/>
    <w:rsid w:val="00B444B8"/>
    <w:rsid w:val="00B4746E"/>
    <w:rsid w:val="00B47FD1"/>
    <w:rsid w:val="00B516BB"/>
    <w:rsid w:val="00B51B0A"/>
    <w:rsid w:val="00B5205D"/>
    <w:rsid w:val="00B54665"/>
    <w:rsid w:val="00B548D7"/>
    <w:rsid w:val="00B61417"/>
    <w:rsid w:val="00B62989"/>
    <w:rsid w:val="00B633C3"/>
    <w:rsid w:val="00B6406E"/>
    <w:rsid w:val="00B642B6"/>
    <w:rsid w:val="00B654A9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93D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117"/>
    <w:rsid w:val="00BB1993"/>
    <w:rsid w:val="00BB1D64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1D5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BF7DBE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30AE"/>
    <w:rsid w:val="00C235C7"/>
    <w:rsid w:val="00C23FA7"/>
    <w:rsid w:val="00C24650"/>
    <w:rsid w:val="00C2597A"/>
    <w:rsid w:val="00C25AAF"/>
    <w:rsid w:val="00C269A3"/>
    <w:rsid w:val="00C27752"/>
    <w:rsid w:val="00C27B36"/>
    <w:rsid w:val="00C31C47"/>
    <w:rsid w:val="00C32347"/>
    <w:rsid w:val="00C33079"/>
    <w:rsid w:val="00C330DF"/>
    <w:rsid w:val="00C333E9"/>
    <w:rsid w:val="00C3438B"/>
    <w:rsid w:val="00C34F52"/>
    <w:rsid w:val="00C354F8"/>
    <w:rsid w:val="00C37FDE"/>
    <w:rsid w:val="00C41500"/>
    <w:rsid w:val="00C42782"/>
    <w:rsid w:val="00C43926"/>
    <w:rsid w:val="00C4443E"/>
    <w:rsid w:val="00C465BE"/>
    <w:rsid w:val="00C47A66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E2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24EA"/>
    <w:rsid w:val="00CB474B"/>
    <w:rsid w:val="00CC05BA"/>
    <w:rsid w:val="00CC365E"/>
    <w:rsid w:val="00CD0243"/>
    <w:rsid w:val="00CD1CFE"/>
    <w:rsid w:val="00CD3E58"/>
    <w:rsid w:val="00CD4A61"/>
    <w:rsid w:val="00CD4C7B"/>
    <w:rsid w:val="00CD6310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20E"/>
    <w:rsid w:val="00D41585"/>
    <w:rsid w:val="00D42844"/>
    <w:rsid w:val="00D43109"/>
    <w:rsid w:val="00D44328"/>
    <w:rsid w:val="00D450E9"/>
    <w:rsid w:val="00D50FAB"/>
    <w:rsid w:val="00D543B4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089E"/>
    <w:rsid w:val="00D80F5E"/>
    <w:rsid w:val="00D840F9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12FD"/>
    <w:rsid w:val="00DD43BA"/>
    <w:rsid w:val="00DD70FA"/>
    <w:rsid w:val="00DD722F"/>
    <w:rsid w:val="00DE0D91"/>
    <w:rsid w:val="00DE17D1"/>
    <w:rsid w:val="00DE44B0"/>
    <w:rsid w:val="00DE4A98"/>
    <w:rsid w:val="00DE56A5"/>
    <w:rsid w:val="00DE6DD1"/>
    <w:rsid w:val="00DF0433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157BC"/>
    <w:rsid w:val="00E23537"/>
    <w:rsid w:val="00E25BEF"/>
    <w:rsid w:val="00E25C19"/>
    <w:rsid w:val="00E307FC"/>
    <w:rsid w:val="00E313B9"/>
    <w:rsid w:val="00E31932"/>
    <w:rsid w:val="00E31E89"/>
    <w:rsid w:val="00E32798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28B"/>
    <w:rsid w:val="00ED1D93"/>
    <w:rsid w:val="00ED20B1"/>
    <w:rsid w:val="00ED43A5"/>
    <w:rsid w:val="00EE1512"/>
    <w:rsid w:val="00EE217F"/>
    <w:rsid w:val="00EE4120"/>
    <w:rsid w:val="00EE44AD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537F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0E97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</cp:lastModifiedBy>
  <cp:revision>3</cp:revision>
  <dcterms:created xsi:type="dcterms:W3CDTF">2022-08-03T21:43:00Z</dcterms:created>
  <dcterms:modified xsi:type="dcterms:W3CDTF">2022-08-08T16:46:00Z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